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E9" w:rsidRPr="001B6DE9" w:rsidRDefault="001B6DE9" w:rsidP="001B6DE9">
      <w:pPr>
        <w:shd w:val="clear" w:color="auto" w:fill="FFFFFF"/>
        <w:spacing w:after="0" w:line="468" w:lineRule="atLeast"/>
        <w:rPr>
          <w:rFonts w:ascii="Arial" w:eastAsia="Times New Roman" w:hAnsi="Arial" w:cs="Arial"/>
          <w:b/>
          <w:bCs/>
          <w:color w:val="000000"/>
          <w:sz w:val="28"/>
          <w:szCs w:val="28"/>
        </w:rPr>
      </w:pPr>
      <w:r w:rsidRPr="001B6DE9">
        <w:rPr>
          <w:rFonts w:ascii="Arial" w:eastAsia="Times New Roman" w:hAnsi="Arial" w:cs="Arial"/>
          <w:b/>
          <w:bCs/>
          <w:color w:val="000000"/>
          <w:sz w:val="28"/>
          <w:szCs w:val="28"/>
        </w:rPr>
        <w:t>Dehumanization</w:t>
      </w:r>
    </w:p>
    <w:p w:rsidR="001B6DE9" w:rsidRPr="001B6DE9" w:rsidRDefault="001B6DE9" w:rsidP="001B6DE9">
      <w:pPr>
        <w:shd w:val="clear" w:color="auto" w:fill="787878"/>
        <w:spacing w:line="299" w:lineRule="atLeast"/>
        <w:rPr>
          <w:rFonts w:ascii="Arial" w:eastAsia="Times New Roman" w:hAnsi="Arial" w:cs="Arial"/>
          <w:color w:val="787878"/>
          <w:sz w:val="28"/>
          <w:szCs w:val="28"/>
        </w:rPr>
      </w:pPr>
      <w:r w:rsidRPr="001B6DE9">
        <w:rPr>
          <w:rFonts w:ascii="Arial" w:eastAsia="Times New Roman" w:hAnsi="Arial" w:cs="Arial"/>
          <w:color w:val="787878"/>
          <w:sz w:val="28"/>
          <w:szCs w:val="28"/>
        </w:rPr>
        <w:t> </w:t>
      </w:r>
    </w:p>
    <w:tbl>
      <w:tblPr>
        <w:tblW w:w="5000" w:type="pct"/>
        <w:tblCellSpacing w:w="15" w:type="dxa"/>
        <w:shd w:val="clear" w:color="auto" w:fill="FFFFFF"/>
        <w:tblCellMar>
          <w:top w:w="15" w:type="dxa"/>
          <w:left w:w="15" w:type="dxa"/>
          <w:bottom w:w="15" w:type="dxa"/>
          <w:right w:w="15" w:type="dxa"/>
        </w:tblCellMar>
        <w:tblLook w:val="04A0"/>
      </w:tblPr>
      <w:tblGrid>
        <w:gridCol w:w="7125"/>
        <w:gridCol w:w="3045"/>
      </w:tblGrid>
      <w:tr w:rsidR="001B6DE9" w:rsidRPr="001B6DE9" w:rsidTr="001B6DE9">
        <w:trPr>
          <w:tblCellSpacing w:w="15" w:type="dxa"/>
        </w:trPr>
        <w:tc>
          <w:tcPr>
            <w:tcW w:w="0" w:type="auto"/>
            <w:shd w:val="clear" w:color="auto" w:fill="FFFFFF"/>
            <w:vAlign w:val="center"/>
            <w:hideMark/>
          </w:tcPr>
          <w:p w:rsidR="001B6DE9" w:rsidRPr="001B6DE9" w:rsidRDefault="001B6DE9" w:rsidP="001B6DE9">
            <w:pPr>
              <w:spacing w:after="0" w:line="299" w:lineRule="atLeast"/>
              <w:rPr>
                <w:rFonts w:ascii="Arial" w:eastAsia="Times New Roman" w:hAnsi="Arial" w:cs="Arial"/>
                <w:color w:val="000000"/>
                <w:sz w:val="28"/>
                <w:szCs w:val="28"/>
              </w:rPr>
            </w:pPr>
            <w:r w:rsidRPr="001B6DE9">
              <w:rPr>
                <w:rFonts w:ascii="Arial" w:eastAsia="Times New Roman" w:hAnsi="Arial" w:cs="Arial"/>
                <w:b/>
                <w:bCs/>
                <w:color w:val="000000"/>
                <w:sz w:val="28"/>
                <w:szCs w:val="28"/>
              </w:rPr>
              <w:t>By</w:t>
            </w:r>
            <w:r w:rsidRPr="001B6DE9">
              <w:rPr>
                <w:rFonts w:ascii="Arial" w:eastAsia="Times New Roman" w:hAnsi="Arial" w:cs="Arial"/>
                <w:b/>
                <w:bCs/>
                <w:color w:val="000000"/>
                <w:sz w:val="28"/>
                <w:szCs w:val="28"/>
              </w:rPr>
              <w:br/>
            </w:r>
            <w:hyperlink r:id="rId4" w:history="1">
              <w:r w:rsidRPr="001B6DE9">
                <w:rPr>
                  <w:rFonts w:ascii="Arial" w:eastAsia="Times New Roman" w:hAnsi="Arial" w:cs="Arial"/>
                  <w:b/>
                  <w:bCs/>
                  <w:color w:val="6A009C"/>
                  <w:sz w:val="28"/>
                  <w:szCs w:val="28"/>
                </w:rPr>
                <w:t xml:space="preserve">Michelle </w:t>
              </w:r>
              <w:proofErr w:type="spellStart"/>
              <w:r w:rsidRPr="001B6DE9">
                <w:rPr>
                  <w:rFonts w:ascii="Arial" w:eastAsia="Times New Roman" w:hAnsi="Arial" w:cs="Arial"/>
                  <w:b/>
                  <w:bCs/>
                  <w:color w:val="6A009C"/>
                  <w:sz w:val="28"/>
                  <w:szCs w:val="28"/>
                </w:rPr>
                <w:t>Maiese</w:t>
              </w:r>
              <w:proofErr w:type="spellEnd"/>
            </w:hyperlink>
            <w:r w:rsidRPr="001B6DE9">
              <w:rPr>
                <w:rFonts w:ascii="Arial" w:eastAsia="Times New Roman" w:hAnsi="Arial" w:cs="Arial"/>
                <w:b/>
                <w:bCs/>
                <w:color w:val="000000"/>
                <w:sz w:val="28"/>
                <w:szCs w:val="28"/>
              </w:rPr>
              <w:t> </w:t>
            </w:r>
            <w:r w:rsidRPr="001B6DE9">
              <w:rPr>
                <w:rFonts w:ascii="Arial" w:eastAsia="Times New Roman" w:hAnsi="Arial" w:cs="Arial"/>
                <w:color w:val="000000"/>
                <w:sz w:val="28"/>
                <w:szCs w:val="28"/>
              </w:rPr>
              <w:br/>
            </w:r>
            <w:r w:rsidRPr="001B6DE9">
              <w:rPr>
                <w:rFonts w:ascii="Arial" w:eastAsia="Times New Roman" w:hAnsi="Arial" w:cs="Arial"/>
                <w:color w:val="000000"/>
                <w:sz w:val="28"/>
                <w:szCs w:val="28"/>
              </w:rPr>
              <w:br/>
              <w:t>July 2003</w:t>
            </w:r>
            <w:r w:rsidRPr="001B6DE9">
              <w:rPr>
                <w:rFonts w:ascii="Arial" w:eastAsia="Times New Roman" w:hAnsi="Arial" w:cs="Arial"/>
                <w:color w:val="000000"/>
                <w:sz w:val="28"/>
                <w:szCs w:val="28"/>
              </w:rPr>
              <w:br/>
              <w:t> </w:t>
            </w:r>
          </w:p>
        </w:tc>
        <w:tc>
          <w:tcPr>
            <w:tcW w:w="3000" w:type="dxa"/>
            <w:shd w:val="clear" w:color="auto" w:fill="FFFFFF"/>
            <w:vAlign w:val="center"/>
            <w:hideMark/>
          </w:tcPr>
          <w:p w:rsidR="001B6DE9" w:rsidRPr="001B6DE9" w:rsidRDefault="001B6DE9" w:rsidP="001B6DE9">
            <w:pPr>
              <w:spacing w:after="0" w:line="299" w:lineRule="atLeast"/>
              <w:rPr>
                <w:rFonts w:ascii="Arial" w:eastAsia="Times New Roman" w:hAnsi="Arial" w:cs="Arial"/>
                <w:color w:val="000000"/>
                <w:sz w:val="28"/>
                <w:szCs w:val="28"/>
              </w:rPr>
            </w:pPr>
          </w:p>
        </w:tc>
      </w:tr>
    </w:tbl>
    <w:p w:rsidR="001B6DE9" w:rsidRPr="001B6DE9" w:rsidRDefault="001B6DE9" w:rsidP="001B6DE9">
      <w:pPr>
        <w:spacing w:after="0" w:line="240" w:lineRule="auto"/>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tblPr>
      <w:tblGrid>
        <w:gridCol w:w="10080"/>
      </w:tblGrid>
      <w:tr w:rsidR="001B6DE9" w:rsidRPr="001B6DE9" w:rsidTr="001B6DE9">
        <w:trPr>
          <w:tblCellSpacing w:w="0" w:type="dxa"/>
        </w:trPr>
        <w:tc>
          <w:tcPr>
            <w:tcW w:w="0" w:type="auto"/>
            <w:shd w:val="clear" w:color="auto" w:fill="FFFFFF"/>
            <w:vAlign w:val="center"/>
            <w:hideMark/>
          </w:tcPr>
          <w:p w:rsidR="001B6DE9" w:rsidRPr="001B6DE9" w:rsidRDefault="001B6DE9" w:rsidP="001B6DE9">
            <w:pPr>
              <w:spacing w:after="0" w:line="299" w:lineRule="atLeast"/>
              <w:divId w:val="1915436430"/>
              <w:rPr>
                <w:rFonts w:ascii="Arial" w:eastAsia="Times New Roman" w:hAnsi="Arial" w:cs="Arial"/>
                <w:b/>
                <w:bCs/>
                <w:color w:val="000000"/>
                <w:sz w:val="28"/>
                <w:szCs w:val="28"/>
              </w:rPr>
            </w:pPr>
            <w:r w:rsidRPr="001B6DE9">
              <w:rPr>
                <w:rFonts w:ascii="Arial" w:eastAsia="Times New Roman" w:hAnsi="Arial" w:cs="Arial"/>
                <w:b/>
                <w:bCs/>
                <w:color w:val="000000"/>
                <w:sz w:val="28"/>
                <w:szCs w:val="28"/>
              </w:rPr>
              <w:t>What it Means to Dehumanize</w:t>
            </w:r>
          </w:p>
          <w:tbl>
            <w:tblPr>
              <w:tblpPr w:leftFromText="45" w:rightFromText="45" w:vertAnchor="text" w:tblpXSpec="right" w:tblpYSpec="center"/>
              <w:tblW w:w="3000" w:type="dxa"/>
              <w:tblCellSpacing w:w="15" w:type="dxa"/>
              <w:tblCellMar>
                <w:top w:w="45" w:type="dxa"/>
                <w:left w:w="45" w:type="dxa"/>
                <w:bottom w:w="45" w:type="dxa"/>
                <w:right w:w="45" w:type="dxa"/>
              </w:tblCellMar>
              <w:tblLook w:val="04A0"/>
            </w:tblPr>
            <w:tblGrid>
              <w:gridCol w:w="3481"/>
            </w:tblGrid>
            <w:tr w:rsidR="001B6DE9" w:rsidRPr="001B6DE9">
              <w:trPr>
                <w:tblCellSpacing w:w="15" w:type="dxa"/>
              </w:trPr>
              <w:tc>
                <w:tcPr>
                  <w:tcW w:w="5000" w:type="pct"/>
                  <w:shd w:val="clear" w:color="auto" w:fill="ECEEFF"/>
                  <w:vAlign w:val="center"/>
                  <w:hideMark/>
                </w:tcPr>
                <w:p w:rsidR="001B6DE9" w:rsidRPr="001B6DE9" w:rsidRDefault="001B6DE9" w:rsidP="001B6DE9">
                  <w:pPr>
                    <w:spacing w:after="0" w:line="299" w:lineRule="atLeast"/>
                    <w:rPr>
                      <w:rFonts w:ascii="Arial" w:eastAsia="Times New Roman" w:hAnsi="Arial" w:cs="Arial"/>
                      <w:sz w:val="28"/>
                      <w:szCs w:val="28"/>
                    </w:rPr>
                  </w:pPr>
                  <w:r w:rsidRPr="001B6DE9">
                    <w:rPr>
                      <w:rFonts w:ascii="Arial" w:eastAsia="Times New Roman" w:hAnsi="Arial" w:cs="Arial"/>
                      <w:sz w:val="28"/>
                      <w:szCs w:val="28"/>
                    </w:rPr>
                    <w:br/>
                    <w:t>Dehumanization is the psychological process of demonizing the enemy, making them seem less than human and hence not worthy of humane treatment. This can lead to increased </w:t>
                  </w:r>
                  <w:hyperlink r:id="rId5" w:history="1">
                    <w:r w:rsidRPr="001B6DE9">
                      <w:rPr>
                        <w:rFonts w:ascii="Arial" w:eastAsia="Times New Roman" w:hAnsi="Arial" w:cs="Arial"/>
                        <w:color w:val="6A009C"/>
                        <w:sz w:val="28"/>
                        <w:szCs w:val="28"/>
                      </w:rPr>
                      <w:t>violence</w:t>
                    </w:r>
                  </w:hyperlink>
                  <w:r w:rsidRPr="001B6DE9">
                    <w:rPr>
                      <w:rFonts w:ascii="Arial" w:eastAsia="Times New Roman" w:hAnsi="Arial" w:cs="Arial"/>
                      <w:sz w:val="28"/>
                      <w:szCs w:val="28"/>
                    </w:rPr>
                    <w:t>, </w:t>
                  </w:r>
                  <w:hyperlink r:id="rId6" w:history="1">
                    <w:r w:rsidRPr="001B6DE9">
                      <w:rPr>
                        <w:rFonts w:ascii="Arial" w:eastAsia="Times New Roman" w:hAnsi="Arial" w:cs="Arial"/>
                        <w:color w:val="6A009C"/>
                        <w:sz w:val="28"/>
                        <w:szCs w:val="28"/>
                      </w:rPr>
                      <w:t>human rights violations</w:t>
                    </w:r>
                  </w:hyperlink>
                  <w:r w:rsidRPr="001B6DE9">
                    <w:rPr>
                      <w:rFonts w:ascii="Arial" w:eastAsia="Times New Roman" w:hAnsi="Arial" w:cs="Arial"/>
                      <w:sz w:val="28"/>
                      <w:szCs w:val="28"/>
                    </w:rPr>
                    <w:t>, </w:t>
                  </w:r>
                  <w:hyperlink r:id="rId7" w:history="1">
                    <w:r w:rsidRPr="001B6DE9">
                      <w:rPr>
                        <w:rFonts w:ascii="Arial" w:eastAsia="Times New Roman" w:hAnsi="Arial" w:cs="Arial"/>
                        <w:color w:val="6A009C"/>
                        <w:sz w:val="28"/>
                        <w:szCs w:val="28"/>
                      </w:rPr>
                      <w:t>war crimes</w:t>
                    </w:r>
                  </w:hyperlink>
                  <w:r w:rsidRPr="001B6DE9">
                    <w:rPr>
                      <w:rFonts w:ascii="Arial" w:eastAsia="Times New Roman" w:hAnsi="Arial" w:cs="Arial"/>
                      <w:sz w:val="28"/>
                      <w:szCs w:val="28"/>
                    </w:rPr>
                    <w:t xml:space="preserve">, </w:t>
                  </w:r>
                  <w:proofErr w:type="spellStart"/>
                  <w:r w:rsidRPr="001B6DE9">
                    <w:rPr>
                      <w:rFonts w:ascii="Arial" w:eastAsia="Times New Roman" w:hAnsi="Arial" w:cs="Arial"/>
                      <w:sz w:val="28"/>
                      <w:szCs w:val="28"/>
                    </w:rPr>
                    <w:t>and</w:t>
                  </w:r>
                  <w:hyperlink r:id="rId8" w:history="1">
                    <w:r w:rsidRPr="001B6DE9">
                      <w:rPr>
                        <w:rFonts w:ascii="Arial" w:eastAsia="Times New Roman" w:hAnsi="Arial" w:cs="Arial"/>
                        <w:color w:val="6A009C"/>
                        <w:sz w:val="28"/>
                        <w:szCs w:val="28"/>
                      </w:rPr>
                      <w:t>genocide</w:t>
                    </w:r>
                    <w:proofErr w:type="spellEnd"/>
                  </w:hyperlink>
                  <w:r w:rsidRPr="001B6DE9">
                    <w:rPr>
                      <w:rFonts w:ascii="Arial" w:eastAsia="Times New Roman" w:hAnsi="Arial" w:cs="Arial"/>
                      <w:sz w:val="28"/>
                      <w:szCs w:val="28"/>
                    </w:rPr>
                    <w:t>.</w:t>
                  </w:r>
                </w:p>
              </w:tc>
            </w:tr>
          </w:tbl>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Dehumanization is a psychological process whereby opponents view each other as less than human and thus not deserving of moral consideration. Jews in the eyes of Nazis and Tutsis in the eyes of Hutus (in the Rwandan genocide) are but two examples. Protracted conflict strains relationships and makes it difficult for parties to recognize that they are part of a shared human community. Such conditions often lead to feelings of intense hatred and alienation among conflicting parties. The more severe the conflict, the more the psychological distance between groups will widen. Eventually, this can result in </w:t>
            </w:r>
            <w:hyperlink r:id="rId9" w:history="1">
              <w:r w:rsidRPr="001B6DE9">
                <w:rPr>
                  <w:rFonts w:ascii="Arial" w:eastAsia="Times New Roman" w:hAnsi="Arial" w:cs="Arial"/>
                  <w:color w:val="6A009C"/>
                  <w:sz w:val="28"/>
                  <w:szCs w:val="28"/>
                </w:rPr>
                <w:t>moral exclusion</w:t>
              </w:r>
            </w:hyperlink>
            <w:r w:rsidRPr="001B6DE9">
              <w:rPr>
                <w:rFonts w:ascii="Arial" w:eastAsia="Times New Roman" w:hAnsi="Arial" w:cs="Arial"/>
                <w:color w:val="000000"/>
                <w:sz w:val="28"/>
                <w:szCs w:val="28"/>
              </w:rPr>
              <w:t>. Those excluded are typically viewed as inferior, evil, or criminal.[1]</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We typically think that all people have some basic human rights that should not be violated. Innocent people should not be murdered, raped, or tortured. Rather, </w:t>
            </w:r>
            <w:hyperlink r:id="rId10" w:history="1">
              <w:r w:rsidRPr="001B6DE9">
                <w:rPr>
                  <w:rFonts w:ascii="Arial" w:eastAsia="Times New Roman" w:hAnsi="Arial" w:cs="Arial"/>
                  <w:color w:val="6A009C"/>
                  <w:sz w:val="28"/>
                  <w:szCs w:val="28"/>
                </w:rPr>
                <w:t>international law</w:t>
              </w:r>
            </w:hyperlink>
            <w:r w:rsidRPr="001B6DE9">
              <w:rPr>
                <w:rFonts w:ascii="Arial" w:eastAsia="Times New Roman" w:hAnsi="Arial" w:cs="Arial"/>
                <w:color w:val="000000"/>
                <w:sz w:val="28"/>
                <w:szCs w:val="28"/>
              </w:rPr>
              <w:t> suggests that they should be treated </w:t>
            </w:r>
            <w:hyperlink r:id="rId11" w:history="1">
              <w:r w:rsidRPr="001B6DE9">
                <w:rPr>
                  <w:rFonts w:ascii="Arial" w:eastAsia="Times New Roman" w:hAnsi="Arial" w:cs="Arial"/>
                  <w:color w:val="6A009C"/>
                  <w:sz w:val="28"/>
                  <w:szCs w:val="28"/>
                </w:rPr>
                <w:t>justly and fairly</w:t>
              </w:r>
            </w:hyperlink>
            <w:r w:rsidRPr="001B6DE9">
              <w:rPr>
                <w:rFonts w:ascii="Arial" w:eastAsia="Times New Roman" w:hAnsi="Arial" w:cs="Arial"/>
                <w:color w:val="000000"/>
                <w:sz w:val="28"/>
                <w:szCs w:val="28"/>
              </w:rPr>
              <w:t>, with dignity and respect. They deserve to have their basic needs met, and to have some freedom to make autonomous decisions. In times of war, parties must take care to protect the lives of innocent civilians on the opposing side. Even those guilty of breaking the law should receive a fair trial, and should not be subject to any sort of cruel or unusual punishment.</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However, for individuals viewed as outside the scope of morality and justice, "the concepts of deserving basic needs and fair treatment do not apply and can seem irrelevant."[2] Any harm that befalls such individuals seems warranted, and perhaps even morally justified. Those excluded from the scope of morality are typically perceived as psychologically distant, expendable, and deserving of treatment that would not be acceptable for those included in one's moral community. Common criteria for exclusion include ideology, skin color, and cognitive capacity. We typically dehumanize those whom we perceive as a threat to our well-being or values.[3]</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lastRenderedPageBreak/>
              <w:t>Psychologically, it is necessary to categorize one's enemy as sub-human in order to legitimize increased violence or justify the violation of basic human rights. </w:t>
            </w:r>
            <w:hyperlink r:id="rId12" w:history="1">
              <w:r w:rsidRPr="001B6DE9">
                <w:rPr>
                  <w:rFonts w:ascii="Arial" w:eastAsia="Times New Roman" w:hAnsi="Arial" w:cs="Arial"/>
                  <w:color w:val="6A009C"/>
                  <w:sz w:val="28"/>
                  <w:szCs w:val="28"/>
                </w:rPr>
                <w:t>Moral exclusion</w:t>
              </w:r>
            </w:hyperlink>
            <w:r w:rsidRPr="001B6DE9">
              <w:rPr>
                <w:rFonts w:ascii="Arial" w:eastAsia="Times New Roman" w:hAnsi="Arial" w:cs="Arial"/>
                <w:color w:val="000000"/>
                <w:sz w:val="28"/>
                <w:szCs w:val="28"/>
              </w:rPr>
              <w:t> reduces restraints against harming or exploiting certain groups of people. In severe cases, dehumanization makes the violation of generally accepted norms of behavior regarding one's fellow man seem reasonable, or even necessary.</w:t>
            </w:r>
          </w:p>
          <w:tbl>
            <w:tblPr>
              <w:tblpPr w:leftFromText="45" w:rightFromText="45" w:vertAnchor="text" w:tblpXSpec="right" w:tblpYSpec="center"/>
              <w:tblW w:w="3000" w:type="dxa"/>
              <w:tblCellSpacing w:w="15" w:type="dxa"/>
              <w:tblCellMar>
                <w:top w:w="45" w:type="dxa"/>
                <w:left w:w="45" w:type="dxa"/>
                <w:bottom w:w="45" w:type="dxa"/>
                <w:right w:w="45" w:type="dxa"/>
              </w:tblCellMar>
              <w:tblLook w:val="04A0"/>
            </w:tblPr>
            <w:tblGrid>
              <w:gridCol w:w="3000"/>
            </w:tblGrid>
            <w:tr w:rsidR="001B6DE9" w:rsidRPr="001B6DE9">
              <w:trPr>
                <w:tblCellSpacing w:w="15" w:type="dxa"/>
              </w:trPr>
              <w:tc>
                <w:tcPr>
                  <w:tcW w:w="5000" w:type="pct"/>
                  <w:shd w:val="clear" w:color="auto" w:fill="ECEEFF"/>
                  <w:vAlign w:val="center"/>
                  <w:hideMark/>
                </w:tcPr>
                <w:p w:rsidR="001B6DE9" w:rsidRPr="001B6DE9" w:rsidRDefault="001B6DE9" w:rsidP="001B6DE9">
                  <w:pPr>
                    <w:spacing w:after="0" w:line="299" w:lineRule="atLeast"/>
                    <w:jc w:val="center"/>
                    <w:rPr>
                      <w:rFonts w:ascii="Arial" w:eastAsia="Times New Roman" w:hAnsi="Arial" w:cs="Arial"/>
                      <w:sz w:val="28"/>
                      <w:szCs w:val="28"/>
                    </w:rPr>
                  </w:pPr>
                </w:p>
              </w:tc>
            </w:tr>
          </w:tbl>
          <w:p w:rsidR="001B6DE9" w:rsidRPr="001B6DE9" w:rsidRDefault="001B6DE9" w:rsidP="001B6DE9">
            <w:pPr>
              <w:spacing w:after="0" w:line="299" w:lineRule="atLeast"/>
              <w:rPr>
                <w:rFonts w:ascii="Arial" w:eastAsia="Times New Roman" w:hAnsi="Arial" w:cs="Arial"/>
                <w:b/>
                <w:bCs/>
                <w:color w:val="000000"/>
                <w:sz w:val="28"/>
                <w:szCs w:val="28"/>
              </w:rPr>
            </w:pPr>
            <w:r w:rsidRPr="001B6DE9">
              <w:rPr>
                <w:rFonts w:ascii="Arial" w:eastAsia="Times New Roman" w:hAnsi="Arial" w:cs="Arial"/>
                <w:b/>
                <w:bCs/>
                <w:color w:val="000000"/>
                <w:sz w:val="28"/>
                <w:szCs w:val="28"/>
              </w:rPr>
              <w:t>The Psychology of Dehumanization</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Dehumanization is actually an extension of a less intense process of developing an "enemy image" of the opponent. During the course of protracted conflict, feelings of </w:t>
            </w:r>
            <w:hyperlink r:id="rId13" w:history="1">
              <w:r w:rsidRPr="001B6DE9">
                <w:rPr>
                  <w:rFonts w:ascii="Arial" w:eastAsia="Times New Roman" w:hAnsi="Arial" w:cs="Arial"/>
                  <w:color w:val="6A009C"/>
                  <w:sz w:val="28"/>
                  <w:szCs w:val="28"/>
                </w:rPr>
                <w:t>anger</w:t>
              </w:r>
            </w:hyperlink>
            <w:r w:rsidRPr="001B6DE9">
              <w:rPr>
                <w:rFonts w:ascii="Arial" w:eastAsia="Times New Roman" w:hAnsi="Arial" w:cs="Arial"/>
                <w:color w:val="000000"/>
                <w:sz w:val="28"/>
                <w:szCs w:val="28"/>
              </w:rPr>
              <w:t>, </w:t>
            </w:r>
            <w:hyperlink r:id="rId14" w:history="1">
              <w:r w:rsidRPr="001B6DE9">
                <w:rPr>
                  <w:rFonts w:ascii="Arial" w:eastAsia="Times New Roman" w:hAnsi="Arial" w:cs="Arial"/>
                  <w:color w:val="6A009C"/>
                  <w:sz w:val="28"/>
                  <w:szCs w:val="28"/>
                </w:rPr>
                <w:t>fear</w:t>
              </w:r>
            </w:hyperlink>
            <w:r w:rsidRPr="001B6DE9">
              <w:rPr>
                <w:rFonts w:ascii="Arial" w:eastAsia="Times New Roman" w:hAnsi="Arial" w:cs="Arial"/>
                <w:color w:val="000000"/>
                <w:sz w:val="28"/>
                <w:szCs w:val="28"/>
              </w:rPr>
              <w:t>, and </w:t>
            </w:r>
            <w:hyperlink r:id="rId15" w:history="1">
              <w:r w:rsidRPr="001B6DE9">
                <w:rPr>
                  <w:rFonts w:ascii="Arial" w:eastAsia="Times New Roman" w:hAnsi="Arial" w:cs="Arial"/>
                  <w:color w:val="6A009C"/>
                  <w:sz w:val="28"/>
                  <w:szCs w:val="28"/>
                </w:rPr>
                <w:t>distrust</w:t>
              </w:r>
            </w:hyperlink>
            <w:r w:rsidRPr="001B6DE9">
              <w:rPr>
                <w:rFonts w:ascii="Arial" w:eastAsia="Times New Roman" w:hAnsi="Arial" w:cs="Arial"/>
                <w:color w:val="000000"/>
                <w:sz w:val="28"/>
                <w:szCs w:val="28"/>
              </w:rPr>
              <w:t> shape the way that the parties perceive each other. Adversarial attitudes and perceptions develop and parties begin to attribute negative traits to their opponent. They may come to view the opponent as an evil enemy, deficient in moral virtue, or as a dangerous, warlike monster.</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An enemy image is a negative </w:t>
            </w:r>
            <w:hyperlink r:id="rId16" w:history="1">
              <w:r w:rsidRPr="001B6DE9">
                <w:rPr>
                  <w:rFonts w:ascii="Arial" w:eastAsia="Times New Roman" w:hAnsi="Arial" w:cs="Arial"/>
                  <w:color w:val="6A009C"/>
                  <w:sz w:val="28"/>
                  <w:szCs w:val="28"/>
                </w:rPr>
                <w:t>stereotype</w:t>
              </w:r>
            </w:hyperlink>
            <w:r w:rsidRPr="001B6DE9">
              <w:rPr>
                <w:rFonts w:ascii="Arial" w:eastAsia="Times New Roman" w:hAnsi="Arial" w:cs="Arial"/>
                <w:color w:val="000000"/>
                <w:sz w:val="28"/>
                <w:szCs w:val="28"/>
              </w:rPr>
              <w:t> through which the opposing group is viewed as evil, in contrast to one's own side, which is seen as good. Such images can stem from a desire for group identity and a need to contrast the distinctive attributes and virtues of one's own group with the vices of the "outside" group</w:t>
            </w:r>
            <w:proofErr w:type="gramStart"/>
            <w:r w:rsidRPr="001B6DE9">
              <w:rPr>
                <w:rFonts w:ascii="Arial" w:eastAsia="Times New Roman" w:hAnsi="Arial" w:cs="Arial"/>
                <w:color w:val="000000"/>
                <w:sz w:val="28"/>
                <w:szCs w:val="28"/>
              </w:rPr>
              <w:t>.[</w:t>
            </w:r>
            <w:proofErr w:type="gramEnd"/>
            <w:r w:rsidRPr="001B6DE9">
              <w:rPr>
                <w:rFonts w:ascii="Arial" w:eastAsia="Times New Roman" w:hAnsi="Arial" w:cs="Arial"/>
                <w:color w:val="000000"/>
                <w:sz w:val="28"/>
                <w:szCs w:val="28"/>
              </w:rPr>
              <w:t>4] In some cases, evil-ruler enemy images form. While ordinary group members are regarded as neutral, or perhaps even innocent, their leaders are viewed as hideous monsters.[5]</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Enemy images are usually black and white. The negative actions of one's opponent are thought to reflect their fundamental evil nature, traits, or motives</w:t>
            </w:r>
            <w:proofErr w:type="gramStart"/>
            <w:r w:rsidRPr="001B6DE9">
              <w:rPr>
                <w:rFonts w:ascii="Arial" w:eastAsia="Times New Roman" w:hAnsi="Arial" w:cs="Arial"/>
                <w:color w:val="000000"/>
                <w:sz w:val="28"/>
                <w:szCs w:val="28"/>
              </w:rPr>
              <w:t>.[</w:t>
            </w:r>
            <w:proofErr w:type="gramEnd"/>
            <w:r w:rsidRPr="001B6DE9">
              <w:rPr>
                <w:rFonts w:ascii="Arial" w:eastAsia="Times New Roman" w:hAnsi="Arial" w:cs="Arial"/>
                <w:color w:val="000000"/>
                <w:sz w:val="28"/>
                <w:szCs w:val="28"/>
              </w:rPr>
              <w:t>6] One's own faults, as well as the values and motivations behind the actions of one's opponent, are usually discounted, denied, or ignored. It becomes difficult to </w:t>
            </w:r>
            <w:hyperlink r:id="rId17" w:history="1">
              <w:r w:rsidRPr="001B6DE9">
                <w:rPr>
                  <w:rFonts w:ascii="Arial" w:eastAsia="Times New Roman" w:hAnsi="Arial" w:cs="Arial"/>
                  <w:color w:val="6A009C"/>
                  <w:sz w:val="28"/>
                  <w:szCs w:val="28"/>
                </w:rPr>
                <w:t>empathize</w:t>
              </w:r>
            </w:hyperlink>
            <w:r w:rsidRPr="001B6DE9">
              <w:rPr>
                <w:rFonts w:ascii="Arial" w:eastAsia="Times New Roman" w:hAnsi="Arial" w:cs="Arial"/>
                <w:color w:val="000000"/>
                <w:sz w:val="28"/>
                <w:szCs w:val="28"/>
              </w:rPr>
              <w:t> or see where one's opponent is coming from. Meaningful </w:t>
            </w:r>
            <w:hyperlink r:id="rId18" w:history="1">
              <w:r w:rsidRPr="001B6DE9">
                <w:rPr>
                  <w:rFonts w:ascii="Arial" w:eastAsia="Times New Roman" w:hAnsi="Arial" w:cs="Arial"/>
                  <w:color w:val="6A009C"/>
                  <w:sz w:val="28"/>
                  <w:szCs w:val="28"/>
                </w:rPr>
                <w:t>communication</w:t>
              </w:r>
            </w:hyperlink>
            <w:r w:rsidRPr="001B6DE9">
              <w:rPr>
                <w:rFonts w:ascii="Arial" w:eastAsia="Times New Roman" w:hAnsi="Arial" w:cs="Arial"/>
                <w:color w:val="000000"/>
                <w:sz w:val="28"/>
                <w:szCs w:val="28"/>
              </w:rPr>
              <w:t> is unlikely, and it becomes difficult to perceive any </w:t>
            </w:r>
            <w:hyperlink r:id="rId19" w:history="1">
              <w:r w:rsidRPr="001B6DE9">
                <w:rPr>
                  <w:rFonts w:ascii="Arial" w:eastAsia="Times New Roman" w:hAnsi="Arial" w:cs="Arial"/>
                  <w:color w:val="6A009C"/>
                  <w:sz w:val="28"/>
                  <w:szCs w:val="28"/>
                </w:rPr>
                <w:t>common ground</w:t>
              </w:r>
            </w:hyperlink>
            <w:r w:rsidRPr="001B6DE9">
              <w:rPr>
                <w:rFonts w:ascii="Arial" w:eastAsia="Times New Roman" w:hAnsi="Arial" w:cs="Arial"/>
                <w:color w:val="000000"/>
                <w:sz w:val="28"/>
                <w:szCs w:val="28"/>
              </w:rPr>
              <w:t>.</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Once formed, enemy images tend to resist change, and serve to perpetuate and intensify the conflict. Because the adversary has come to be viewed as a "diabolical enemy," the conflict is framed as a war between good and evil</w:t>
            </w:r>
            <w:proofErr w:type="gramStart"/>
            <w:r w:rsidRPr="001B6DE9">
              <w:rPr>
                <w:rFonts w:ascii="Arial" w:eastAsia="Times New Roman" w:hAnsi="Arial" w:cs="Arial"/>
                <w:color w:val="000000"/>
                <w:sz w:val="28"/>
                <w:szCs w:val="28"/>
              </w:rPr>
              <w:t>.[</w:t>
            </w:r>
            <w:proofErr w:type="gramEnd"/>
            <w:r w:rsidRPr="001B6DE9">
              <w:rPr>
                <w:rFonts w:ascii="Arial" w:eastAsia="Times New Roman" w:hAnsi="Arial" w:cs="Arial"/>
                <w:color w:val="000000"/>
                <w:sz w:val="28"/>
                <w:szCs w:val="28"/>
              </w:rPr>
              <w:t>7] Once the parties have </w:t>
            </w:r>
            <w:hyperlink r:id="rId20" w:history="1">
              <w:r w:rsidRPr="001B6DE9">
                <w:rPr>
                  <w:rFonts w:ascii="Arial" w:eastAsia="Times New Roman" w:hAnsi="Arial" w:cs="Arial"/>
                  <w:color w:val="6A009C"/>
                  <w:sz w:val="28"/>
                  <w:szCs w:val="28"/>
                </w:rPr>
                <w:t>framed</w:t>
              </w:r>
            </w:hyperlink>
            <w:r w:rsidRPr="001B6DE9">
              <w:rPr>
                <w:rFonts w:ascii="Arial" w:eastAsia="Times New Roman" w:hAnsi="Arial" w:cs="Arial"/>
                <w:color w:val="000000"/>
                <w:sz w:val="28"/>
                <w:szCs w:val="28"/>
              </w:rPr>
              <w:t> the conflict in this way, their positions become more rigid. In some cases, </w:t>
            </w:r>
            <w:hyperlink r:id="rId21" w:history="1">
              <w:r w:rsidRPr="001B6DE9">
                <w:rPr>
                  <w:rFonts w:ascii="Arial" w:eastAsia="Times New Roman" w:hAnsi="Arial" w:cs="Arial"/>
                  <w:color w:val="6A009C"/>
                  <w:sz w:val="28"/>
                  <w:szCs w:val="28"/>
                </w:rPr>
                <w:t>zero-sum</w:t>
              </w:r>
            </w:hyperlink>
            <w:r w:rsidRPr="001B6DE9">
              <w:rPr>
                <w:rFonts w:ascii="Arial" w:eastAsia="Times New Roman" w:hAnsi="Arial" w:cs="Arial"/>
                <w:color w:val="000000"/>
                <w:sz w:val="28"/>
                <w:szCs w:val="28"/>
              </w:rPr>
              <w:t> thinking develops as parties come to believe that they must either secure their own victory, or face defeat. New goals to punish or destroy the opponent arise, and in some cases more militant leadership comes into power.</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 xml:space="preserve">Enemy images are accentuated, according to psychologists, by the process of "projection," in which people "project" their own faults onto their opponents. This means that people or groups who tend to be aggressive or selfish are likely to </w:t>
            </w:r>
            <w:r w:rsidRPr="001B6DE9">
              <w:rPr>
                <w:rFonts w:ascii="Arial" w:eastAsia="Times New Roman" w:hAnsi="Arial" w:cs="Arial"/>
                <w:color w:val="000000"/>
                <w:sz w:val="28"/>
                <w:szCs w:val="28"/>
              </w:rPr>
              <w:lastRenderedPageBreak/>
              <w:t>attribute those traits to their opponents, but not to themselves. This improves one's own self-image and increases group cohesion, but it also </w:t>
            </w:r>
            <w:hyperlink r:id="rId22" w:history="1">
              <w:r w:rsidRPr="001B6DE9">
                <w:rPr>
                  <w:rFonts w:ascii="Arial" w:eastAsia="Times New Roman" w:hAnsi="Arial" w:cs="Arial"/>
                  <w:color w:val="6A009C"/>
                  <w:sz w:val="28"/>
                  <w:szCs w:val="28"/>
                </w:rPr>
                <w:t>escalates</w:t>
              </w:r>
            </w:hyperlink>
            <w:r w:rsidRPr="001B6DE9">
              <w:rPr>
                <w:rFonts w:ascii="Arial" w:eastAsia="Times New Roman" w:hAnsi="Arial" w:cs="Arial"/>
                <w:color w:val="000000"/>
                <w:sz w:val="28"/>
                <w:szCs w:val="28"/>
              </w:rPr>
              <w:t> the conflict and makes it easier to dehumanize the other side.</w:t>
            </w:r>
          </w:p>
          <w:p w:rsidR="001B6DE9" w:rsidRPr="001B6DE9" w:rsidRDefault="001B6DE9" w:rsidP="001B6DE9">
            <w:pPr>
              <w:spacing w:before="120" w:after="216" w:line="299" w:lineRule="atLeast"/>
              <w:rPr>
                <w:rFonts w:ascii="Arial" w:eastAsia="Times New Roman" w:hAnsi="Arial" w:cs="Arial"/>
                <w:color w:val="000000"/>
                <w:sz w:val="28"/>
                <w:szCs w:val="28"/>
              </w:rPr>
            </w:pPr>
            <w:proofErr w:type="spellStart"/>
            <w:r w:rsidRPr="001B6DE9">
              <w:rPr>
                <w:rFonts w:ascii="Arial" w:eastAsia="Times New Roman" w:hAnsi="Arial" w:cs="Arial"/>
                <w:color w:val="000000"/>
                <w:sz w:val="28"/>
                <w:szCs w:val="28"/>
              </w:rPr>
              <w:t>Deindividuation</w:t>
            </w:r>
            <w:proofErr w:type="spellEnd"/>
            <w:r w:rsidRPr="001B6DE9">
              <w:rPr>
                <w:rFonts w:ascii="Arial" w:eastAsia="Times New Roman" w:hAnsi="Arial" w:cs="Arial"/>
                <w:color w:val="000000"/>
                <w:sz w:val="28"/>
                <w:szCs w:val="28"/>
              </w:rPr>
              <w:t xml:space="preserve"> facilitates dehumanization as well. This is the psychological process whereby a person is seen as a member of a category or group rather than as an individual. Because people who are </w:t>
            </w:r>
            <w:proofErr w:type="spellStart"/>
            <w:r w:rsidRPr="001B6DE9">
              <w:rPr>
                <w:rFonts w:ascii="Arial" w:eastAsia="Times New Roman" w:hAnsi="Arial" w:cs="Arial"/>
                <w:color w:val="000000"/>
                <w:sz w:val="28"/>
                <w:szCs w:val="28"/>
              </w:rPr>
              <w:t>deindividuated</w:t>
            </w:r>
            <w:proofErr w:type="spellEnd"/>
            <w:r w:rsidRPr="001B6DE9">
              <w:rPr>
                <w:rFonts w:ascii="Arial" w:eastAsia="Times New Roman" w:hAnsi="Arial" w:cs="Arial"/>
                <w:color w:val="000000"/>
                <w:sz w:val="28"/>
                <w:szCs w:val="28"/>
              </w:rPr>
              <w:t xml:space="preserve"> seem less than fully human, they are viewed as less protected by social norms against aggression than those who are individuated</w:t>
            </w:r>
            <w:proofErr w:type="gramStart"/>
            <w:r w:rsidRPr="001B6DE9">
              <w:rPr>
                <w:rFonts w:ascii="Arial" w:eastAsia="Times New Roman" w:hAnsi="Arial" w:cs="Arial"/>
                <w:color w:val="000000"/>
                <w:sz w:val="28"/>
                <w:szCs w:val="28"/>
              </w:rPr>
              <w:t>.[</w:t>
            </w:r>
            <w:proofErr w:type="gramEnd"/>
            <w:r w:rsidRPr="001B6DE9">
              <w:rPr>
                <w:rFonts w:ascii="Arial" w:eastAsia="Times New Roman" w:hAnsi="Arial" w:cs="Arial"/>
                <w:color w:val="000000"/>
                <w:sz w:val="28"/>
                <w:szCs w:val="28"/>
              </w:rPr>
              <w:t>8] It then becomes easier to rationalize contentious moves or severe actions taken against one's opponents.</w:t>
            </w:r>
          </w:p>
          <w:p w:rsidR="001B6DE9" w:rsidRPr="001B6DE9" w:rsidRDefault="001B6DE9" w:rsidP="001B6DE9">
            <w:pPr>
              <w:spacing w:after="0" w:line="299" w:lineRule="atLeast"/>
              <w:rPr>
                <w:rFonts w:ascii="Arial" w:eastAsia="Times New Roman" w:hAnsi="Arial" w:cs="Arial"/>
                <w:b/>
                <w:bCs/>
                <w:color w:val="000000"/>
                <w:sz w:val="28"/>
                <w:szCs w:val="28"/>
              </w:rPr>
            </w:pPr>
            <w:r w:rsidRPr="001B6DE9">
              <w:rPr>
                <w:rFonts w:ascii="Arial" w:eastAsia="Times New Roman" w:hAnsi="Arial" w:cs="Arial"/>
                <w:b/>
                <w:bCs/>
                <w:color w:val="000000"/>
                <w:sz w:val="28"/>
                <w:szCs w:val="28"/>
              </w:rPr>
              <w:t>Dangers of Dehumanization</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 xml:space="preserve">While </w:t>
            </w:r>
            <w:proofErr w:type="spellStart"/>
            <w:r w:rsidRPr="001B6DE9">
              <w:rPr>
                <w:rFonts w:ascii="Arial" w:eastAsia="Times New Roman" w:hAnsi="Arial" w:cs="Arial"/>
                <w:color w:val="000000"/>
                <w:sz w:val="28"/>
                <w:szCs w:val="28"/>
              </w:rPr>
              <w:t>deindividuation</w:t>
            </w:r>
            <w:proofErr w:type="spellEnd"/>
            <w:r w:rsidRPr="001B6DE9">
              <w:rPr>
                <w:rFonts w:ascii="Arial" w:eastAsia="Times New Roman" w:hAnsi="Arial" w:cs="Arial"/>
                <w:color w:val="000000"/>
                <w:sz w:val="28"/>
                <w:szCs w:val="28"/>
              </w:rPr>
              <w:t xml:space="preserve"> and the formation of enemy images are very common, they form a dangerous process that becomes especially damaging when it reaches the level of dehumanization.</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 xml:space="preserve">Once certain groups are stigmatized as evil, morally inferior, and not fully human, the persecution of those groups becomes more psychologically acceptable. Restraints against aggression and violence begin to disappear. Not surprisingly, dehumanization increases the likelihood of violence and may cause a conflict to escalate out of control. Once </w:t>
            </w:r>
            <w:proofErr w:type="gramStart"/>
            <w:r w:rsidRPr="001B6DE9">
              <w:rPr>
                <w:rFonts w:ascii="Arial" w:eastAsia="Times New Roman" w:hAnsi="Arial" w:cs="Arial"/>
                <w:color w:val="000000"/>
                <w:sz w:val="28"/>
                <w:szCs w:val="28"/>
              </w:rPr>
              <w:t>a </w:t>
            </w:r>
            <w:hyperlink r:id="rId23" w:history="1">
              <w:r w:rsidRPr="001B6DE9">
                <w:rPr>
                  <w:rFonts w:ascii="Arial" w:eastAsia="Times New Roman" w:hAnsi="Arial" w:cs="Arial"/>
                  <w:color w:val="6A009C"/>
                  <w:sz w:val="28"/>
                  <w:szCs w:val="28"/>
                </w:rPr>
                <w:t>violence</w:t>
              </w:r>
              <w:proofErr w:type="gramEnd"/>
            </w:hyperlink>
            <w:r w:rsidRPr="001B6DE9">
              <w:rPr>
                <w:rFonts w:ascii="Arial" w:eastAsia="Times New Roman" w:hAnsi="Arial" w:cs="Arial"/>
                <w:color w:val="000000"/>
                <w:sz w:val="28"/>
                <w:szCs w:val="28"/>
              </w:rPr>
              <w:t> break over has occurred, it may seem even more acceptable for people to do things that they would have regarded as morally unthinkable before.</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Parties may come to believe that destruction of the other side is necessary, and pursue an overwhelming victory that will cause one's opponent to simply disappear. This sort of </w:t>
            </w:r>
            <w:hyperlink r:id="rId24" w:history="1">
              <w:r w:rsidRPr="001B6DE9">
                <w:rPr>
                  <w:rFonts w:ascii="Arial" w:eastAsia="Times New Roman" w:hAnsi="Arial" w:cs="Arial"/>
                  <w:color w:val="6A009C"/>
                  <w:sz w:val="28"/>
                  <w:szCs w:val="28"/>
                </w:rPr>
                <w:t>into-the-sea framing</w:t>
              </w:r>
            </w:hyperlink>
            <w:r w:rsidRPr="001B6DE9">
              <w:rPr>
                <w:rFonts w:ascii="Arial" w:eastAsia="Times New Roman" w:hAnsi="Arial" w:cs="Arial"/>
                <w:color w:val="000000"/>
                <w:sz w:val="28"/>
                <w:szCs w:val="28"/>
              </w:rPr>
              <w:t> can cause lasting </w:t>
            </w:r>
            <w:hyperlink r:id="rId25" w:history="1">
              <w:r w:rsidRPr="001B6DE9">
                <w:rPr>
                  <w:rFonts w:ascii="Arial" w:eastAsia="Times New Roman" w:hAnsi="Arial" w:cs="Arial"/>
                  <w:color w:val="6A009C"/>
                  <w:sz w:val="28"/>
                  <w:szCs w:val="28"/>
                </w:rPr>
                <w:t>damage to relationships</w:t>
              </w:r>
            </w:hyperlink>
            <w:r w:rsidRPr="001B6DE9">
              <w:rPr>
                <w:rFonts w:ascii="Arial" w:eastAsia="Times New Roman" w:hAnsi="Arial" w:cs="Arial"/>
                <w:color w:val="000000"/>
                <w:sz w:val="28"/>
                <w:szCs w:val="28"/>
              </w:rPr>
              <w:t> between the conflicting parties, making it more difficult to solve their underlying problems and leading to the loss of more innocent lives.</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Indeed, dehumanization often paves the way for </w:t>
            </w:r>
            <w:hyperlink r:id="rId26" w:history="1">
              <w:r w:rsidRPr="001B6DE9">
                <w:rPr>
                  <w:rFonts w:ascii="Arial" w:eastAsia="Times New Roman" w:hAnsi="Arial" w:cs="Arial"/>
                  <w:color w:val="6A009C"/>
                  <w:sz w:val="28"/>
                  <w:szCs w:val="28"/>
                </w:rPr>
                <w:t>human rights violations</w:t>
              </w:r>
            </w:hyperlink>
            <w:r w:rsidRPr="001B6DE9">
              <w:rPr>
                <w:rFonts w:ascii="Arial" w:eastAsia="Times New Roman" w:hAnsi="Arial" w:cs="Arial"/>
                <w:color w:val="000000"/>
                <w:sz w:val="28"/>
                <w:szCs w:val="28"/>
              </w:rPr>
              <w:t>, </w:t>
            </w:r>
            <w:hyperlink r:id="rId27" w:history="1">
              <w:r w:rsidRPr="001B6DE9">
                <w:rPr>
                  <w:rFonts w:ascii="Arial" w:eastAsia="Times New Roman" w:hAnsi="Arial" w:cs="Arial"/>
                  <w:color w:val="6A009C"/>
                  <w:sz w:val="28"/>
                  <w:szCs w:val="28"/>
                </w:rPr>
                <w:t>war crimes</w:t>
              </w:r>
            </w:hyperlink>
            <w:r w:rsidRPr="001B6DE9">
              <w:rPr>
                <w:rFonts w:ascii="Arial" w:eastAsia="Times New Roman" w:hAnsi="Arial" w:cs="Arial"/>
                <w:color w:val="000000"/>
                <w:sz w:val="28"/>
                <w:szCs w:val="28"/>
              </w:rPr>
              <w:t>, and </w:t>
            </w:r>
            <w:hyperlink r:id="rId28" w:history="1">
              <w:r w:rsidRPr="001B6DE9">
                <w:rPr>
                  <w:rFonts w:ascii="Arial" w:eastAsia="Times New Roman" w:hAnsi="Arial" w:cs="Arial"/>
                  <w:color w:val="6A009C"/>
                  <w:sz w:val="28"/>
                  <w:szCs w:val="28"/>
                </w:rPr>
                <w:t>genocide</w:t>
              </w:r>
            </w:hyperlink>
            <w:r w:rsidRPr="001B6DE9">
              <w:rPr>
                <w:rFonts w:ascii="Arial" w:eastAsia="Times New Roman" w:hAnsi="Arial" w:cs="Arial"/>
                <w:color w:val="000000"/>
                <w:sz w:val="28"/>
                <w:szCs w:val="28"/>
              </w:rPr>
              <w:t>. For example, in WWII, the dehumanization of the Jews ultimately led to the destruction of millions of people</w:t>
            </w:r>
            <w:proofErr w:type="gramStart"/>
            <w:r w:rsidRPr="001B6DE9">
              <w:rPr>
                <w:rFonts w:ascii="Arial" w:eastAsia="Times New Roman" w:hAnsi="Arial" w:cs="Arial"/>
                <w:color w:val="000000"/>
                <w:sz w:val="28"/>
                <w:szCs w:val="28"/>
              </w:rPr>
              <w:t>.[</w:t>
            </w:r>
            <w:proofErr w:type="gramEnd"/>
            <w:r w:rsidRPr="001B6DE9">
              <w:rPr>
                <w:rFonts w:ascii="Arial" w:eastAsia="Times New Roman" w:hAnsi="Arial" w:cs="Arial"/>
                <w:color w:val="000000"/>
                <w:sz w:val="28"/>
                <w:szCs w:val="28"/>
              </w:rPr>
              <w:t>9] Similar atrocities have occurred in Rwanda, Cambodia, and the former Yugoslavia.</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It is thought that the psychological process of dehumanization might be mitigated or reversed through </w:t>
            </w:r>
            <w:hyperlink r:id="rId29" w:history="1">
              <w:r w:rsidRPr="001B6DE9">
                <w:rPr>
                  <w:rFonts w:ascii="Arial" w:eastAsia="Times New Roman" w:hAnsi="Arial" w:cs="Arial"/>
                  <w:color w:val="6A009C"/>
                  <w:sz w:val="28"/>
                  <w:szCs w:val="28"/>
                </w:rPr>
                <w:t>humanization efforts</w:t>
              </w:r>
            </w:hyperlink>
            <w:r w:rsidRPr="001B6DE9">
              <w:rPr>
                <w:rFonts w:ascii="Arial" w:eastAsia="Times New Roman" w:hAnsi="Arial" w:cs="Arial"/>
                <w:color w:val="000000"/>
                <w:sz w:val="28"/>
                <w:szCs w:val="28"/>
              </w:rPr>
              <w:t xml:space="preserve">, the development </w:t>
            </w:r>
            <w:proofErr w:type="spellStart"/>
            <w:r w:rsidRPr="001B6DE9">
              <w:rPr>
                <w:rFonts w:ascii="Arial" w:eastAsia="Times New Roman" w:hAnsi="Arial" w:cs="Arial"/>
                <w:color w:val="000000"/>
                <w:sz w:val="28"/>
                <w:szCs w:val="28"/>
              </w:rPr>
              <w:t>of</w:t>
            </w:r>
            <w:hyperlink r:id="rId30" w:history="1">
              <w:r w:rsidRPr="001B6DE9">
                <w:rPr>
                  <w:rFonts w:ascii="Arial" w:eastAsia="Times New Roman" w:hAnsi="Arial" w:cs="Arial"/>
                  <w:color w:val="6A009C"/>
                  <w:sz w:val="28"/>
                  <w:szCs w:val="28"/>
                </w:rPr>
                <w:t>empathy</w:t>
              </w:r>
              <w:proofErr w:type="spellEnd"/>
            </w:hyperlink>
            <w:r w:rsidRPr="001B6DE9">
              <w:rPr>
                <w:rFonts w:ascii="Arial" w:eastAsia="Times New Roman" w:hAnsi="Arial" w:cs="Arial"/>
                <w:color w:val="000000"/>
                <w:sz w:val="28"/>
                <w:szCs w:val="28"/>
              </w:rPr>
              <w:t>, the establishment of personal relationships between conflicting parties, and the pursuit of common goals.</w:t>
            </w:r>
          </w:p>
          <w:p w:rsidR="001B6DE9" w:rsidRPr="001B6DE9" w:rsidRDefault="001B6DE9" w:rsidP="001B6DE9">
            <w:pPr>
              <w:spacing w:after="0"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pict>
                <v:rect id="_x0000_i1045" style="width:0;height:.95pt" o:hralign="center" o:hrstd="t" o:hr="t" fillcolor="#a0a0a0" stroked="f"/>
              </w:pic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 xml:space="preserve">[1] Susan </w:t>
            </w:r>
            <w:proofErr w:type="spellStart"/>
            <w:r w:rsidRPr="001B6DE9">
              <w:rPr>
                <w:rFonts w:ascii="Arial" w:eastAsia="Times New Roman" w:hAnsi="Arial" w:cs="Arial"/>
                <w:color w:val="000000"/>
                <w:sz w:val="28"/>
                <w:szCs w:val="28"/>
              </w:rPr>
              <w:t>Opotow</w:t>
            </w:r>
            <w:proofErr w:type="spellEnd"/>
            <w:r w:rsidRPr="001B6DE9">
              <w:rPr>
                <w:rFonts w:ascii="Arial" w:eastAsia="Times New Roman" w:hAnsi="Arial" w:cs="Arial"/>
                <w:color w:val="000000"/>
                <w:sz w:val="28"/>
                <w:szCs w:val="28"/>
              </w:rPr>
              <w:t>, "Aggression and Violence," in </w:t>
            </w:r>
            <w:r w:rsidRPr="001B6DE9">
              <w:rPr>
                <w:rFonts w:ascii="Arial" w:eastAsia="Times New Roman" w:hAnsi="Arial" w:cs="Arial"/>
                <w:i/>
                <w:iCs/>
                <w:color w:val="000000"/>
                <w:sz w:val="28"/>
                <w:szCs w:val="28"/>
              </w:rPr>
              <w:t>The Handbook of Conflict Resolution: Theory and Practice</w:t>
            </w:r>
            <w:r w:rsidRPr="001B6DE9">
              <w:rPr>
                <w:rFonts w:ascii="Arial" w:eastAsia="Times New Roman" w:hAnsi="Arial" w:cs="Arial"/>
                <w:color w:val="000000"/>
                <w:sz w:val="28"/>
                <w:szCs w:val="28"/>
              </w:rPr>
              <w:t xml:space="preserve">, eds. M. Deutsch and P.T. Coleman. (San Francisco: </w:t>
            </w:r>
            <w:proofErr w:type="spellStart"/>
            <w:r w:rsidRPr="001B6DE9">
              <w:rPr>
                <w:rFonts w:ascii="Arial" w:eastAsia="Times New Roman" w:hAnsi="Arial" w:cs="Arial"/>
                <w:color w:val="000000"/>
                <w:sz w:val="28"/>
                <w:szCs w:val="28"/>
              </w:rPr>
              <w:t>Jossey</w:t>
            </w:r>
            <w:proofErr w:type="spellEnd"/>
            <w:r w:rsidRPr="001B6DE9">
              <w:rPr>
                <w:rFonts w:ascii="Arial" w:eastAsia="Times New Roman" w:hAnsi="Arial" w:cs="Arial"/>
                <w:color w:val="000000"/>
                <w:sz w:val="28"/>
                <w:szCs w:val="28"/>
              </w:rPr>
              <w:t>-Bass, 2000), 417.</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lastRenderedPageBreak/>
              <w:t xml:space="preserve">[2] Susan </w:t>
            </w:r>
            <w:proofErr w:type="spellStart"/>
            <w:r w:rsidRPr="001B6DE9">
              <w:rPr>
                <w:rFonts w:ascii="Arial" w:eastAsia="Times New Roman" w:hAnsi="Arial" w:cs="Arial"/>
                <w:color w:val="000000"/>
                <w:sz w:val="28"/>
                <w:szCs w:val="28"/>
              </w:rPr>
              <w:t>Opotow</w:t>
            </w:r>
            <w:proofErr w:type="spellEnd"/>
            <w:r w:rsidRPr="001B6DE9">
              <w:rPr>
                <w:rFonts w:ascii="Arial" w:eastAsia="Times New Roman" w:hAnsi="Arial" w:cs="Arial"/>
                <w:color w:val="000000"/>
                <w:sz w:val="28"/>
                <w:szCs w:val="28"/>
              </w:rPr>
              <w:t>, "Drawing the Line: Social Categorization, Moral Exclusion, and the Scope of Justice." In </w:t>
            </w:r>
            <w:r w:rsidRPr="001B6DE9">
              <w:rPr>
                <w:rFonts w:ascii="Arial" w:eastAsia="Times New Roman" w:hAnsi="Arial" w:cs="Arial"/>
                <w:i/>
                <w:iCs/>
                <w:color w:val="000000"/>
                <w:sz w:val="28"/>
                <w:szCs w:val="28"/>
              </w:rPr>
              <w:t>Cooperation, Conflict, and Justice: Essays Inspired by the Work of Morton Deutsch</w:t>
            </w:r>
            <w:r w:rsidRPr="001B6DE9">
              <w:rPr>
                <w:rFonts w:ascii="Arial" w:eastAsia="Times New Roman" w:hAnsi="Arial" w:cs="Arial"/>
                <w:color w:val="000000"/>
                <w:sz w:val="28"/>
                <w:szCs w:val="28"/>
              </w:rPr>
              <w:t>, eds. B.B. Bunker and J.Z. Rubin. (New York: Sage Publications, 1995), 347.</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[3] Morton Deutsch, "Justice and Conflict," in </w:t>
            </w:r>
            <w:r w:rsidRPr="001B6DE9">
              <w:rPr>
                <w:rFonts w:ascii="Arial" w:eastAsia="Times New Roman" w:hAnsi="Arial" w:cs="Arial"/>
                <w:i/>
                <w:iCs/>
                <w:color w:val="000000"/>
                <w:sz w:val="28"/>
                <w:szCs w:val="28"/>
              </w:rPr>
              <w:t>The Handbook of Conflict Resolution: Theory and Practice</w:t>
            </w:r>
            <w:r w:rsidRPr="001B6DE9">
              <w:rPr>
                <w:rFonts w:ascii="Arial" w:eastAsia="Times New Roman" w:hAnsi="Arial" w:cs="Arial"/>
                <w:color w:val="000000"/>
                <w:sz w:val="28"/>
                <w:szCs w:val="28"/>
              </w:rPr>
              <w:t xml:space="preserve">, eds. M. Deutsch and P.T. Coleman. (San Francisco: </w:t>
            </w:r>
            <w:proofErr w:type="spellStart"/>
            <w:r w:rsidRPr="001B6DE9">
              <w:rPr>
                <w:rFonts w:ascii="Arial" w:eastAsia="Times New Roman" w:hAnsi="Arial" w:cs="Arial"/>
                <w:color w:val="000000"/>
                <w:sz w:val="28"/>
                <w:szCs w:val="28"/>
              </w:rPr>
              <w:t>Jossey</w:t>
            </w:r>
            <w:proofErr w:type="spellEnd"/>
            <w:r w:rsidRPr="001B6DE9">
              <w:rPr>
                <w:rFonts w:ascii="Arial" w:eastAsia="Times New Roman" w:hAnsi="Arial" w:cs="Arial"/>
                <w:color w:val="000000"/>
                <w:sz w:val="28"/>
                <w:szCs w:val="28"/>
              </w:rPr>
              <w:t>-Bass, 2000), 51.</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[4] Janice Gross Stein, "Image, Identity and Conflict Resolution," in </w:t>
            </w:r>
            <w:r w:rsidRPr="001B6DE9">
              <w:rPr>
                <w:rFonts w:ascii="Arial" w:eastAsia="Times New Roman" w:hAnsi="Arial" w:cs="Arial"/>
                <w:i/>
                <w:iCs/>
                <w:color w:val="000000"/>
                <w:sz w:val="28"/>
                <w:szCs w:val="28"/>
              </w:rPr>
              <w:t>Managing Global Chaos: Sources of and Responses to International Conflict</w:t>
            </w:r>
            <w:r w:rsidRPr="001B6DE9">
              <w:rPr>
                <w:rFonts w:ascii="Arial" w:eastAsia="Times New Roman" w:hAnsi="Arial" w:cs="Arial"/>
                <w:color w:val="000000"/>
                <w:sz w:val="28"/>
                <w:szCs w:val="28"/>
              </w:rPr>
              <w:t xml:space="preserve">, eds. Chester A. Crocker, Fen Osler </w:t>
            </w:r>
            <w:proofErr w:type="spellStart"/>
            <w:r w:rsidRPr="001B6DE9">
              <w:rPr>
                <w:rFonts w:ascii="Arial" w:eastAsia="Times New Roman" w:hAnsi="Arial" w:cs="Arial"/>
                <w:color w:val="000000"/>
                <w:sz w:val="28"/>
                <w:szCs w:val="28"/>
              </w:rPr>
              <w:t>Hampson</w:t>
            </w:r>
            <w:proofErr w:type="spellEnd"/>
            <w:r w:rsidRPr="001B6DE9">
              <w:rPr>
                <w:rFonts w:ascii="Arial" w:eastAsia="Times New Roman" w:hAnsi="Arial" w:cs="Arial"/>
                <w:color w:val="000000"/>
                <w:sz w:val="28"/>
                <w:szCs w:val="28"/>
              </w:rPr>
              <w:t xml:space="preserve">, and Pamela R. </w:t>
            </w:r>
            <w:proofErr w:type="spellStart"/>
            <w:r w:rsidRPr="001B6DE9">
              <w:rPr>
                <w:rFonts w:ascii="Arial" w:eastAsia="Times New Roman" w:hAnsi="Arial" w:cs="Arial"/>
                <w:color w:val="000000"/>
                <w:sz w:val="28"/>
                <w:szCs w:val="28"/>
              </w:rPr>
              <w:t>Aall</w:t>
            </w:r>
            <w:proofErr w:type="spellEnd"/>
            <w:r w:rsidRPr="001B6DE9">
              <w:rPr>
                <w:rFonts w:ascii="Arial" w:eastAsia="Times New Roman" w:hAnsi="Arial" w:cs="Arial"/>
                <w:color w:val="000000"/>
                <w:sz w:val="28"/>
                <w:szCs w:val="28"/>
              </w:rPr>
              <w:t>. (Herndon, VA: USIP Press, 1996), 94.</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[5] Jeffrey Z. Rubin and Dean G. Pruitt. </w:t>
            </w:r>
            <w:r w:rsidRPr="001B6DE9">
              <w:rPr>
                <w:rFonts w:ascii="Arial" w:eastAsia="Times New Roman" w:hAnsi="Arial" w:cs="Arial"/>
                <w:i/>
                <w:iCs/>
                <w:color w:val="000000"/>
                <w:sz w:val="28"/>
                <w:szCs w:val="28"/>
              </w:rPr>
              <w:t>Social Conflict: Escalation, Stalemate, and Settlement,</w:t>
            </w:r>
            <w:r w:rsidRPr="001B6DE9">
              <w:rPr>
                <w:rFonts w:ascii="Arial" w:eastAsia="Times New Roman" w:hAnsi="Arial" w:cs="Arial"/>
                <w:color w:val="000000"/>
                <w:sz w:val="28"/>
                <w:szCs w:val="28"/>
              </w:rPr>
              <w:t> 2</w:t>
            </w:r>
            <w:r w:rsidRPr="001B6DE9">
              <w:rPr>
                <w:rFonts w:ascii="Arial" w:eastAsia="Times New Roman" w:hAnsi="Arial" w:cs="Arial"/>
                <w:color w:val="000000"/>
                <w:sz w:val="28"/>
                <w:szCs w:val="28"/>
                <w:vertAlign w:val="superscript"/>
              </w:rPr>
              <w:t>nd</w:t>
            </w:r>
            <w:r w:rsidRPr="001B6DE9">
              <w:rPr>
                <w:rFonts w:ascii="Arial" w:eastAsia="Times New Roman" w:hAnsi="Arial" w:cs="Arial"/>
                <w:color w:val="000000"/>
                <w:sz w:val="28"/>
                <w:szCs w:val="28"/>
              </w:rPr>
              <w:t> Edition. (New York: McGraw Hill College Division, 1994), 99.</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[6] Ibid., 103.</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[7] Ibid., 100.</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[8] Ibid., 104.</w:t>
            </w:r>
          </w:p>
          <w:p w:rsidR="001B6DE9" w:rsidRPr="001B6DE9" w:rsidRDefault="001B6DE9" w:rsidP="001B6DE9">
            <w:pPr>
              <w:spacing w:before="120" w:after="216"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t xml:space="preserve">[9] </w:t>
            </w:r>
            <w:proofErr w:type="spellStart"/>
            <w:r w:rsidRPr="001B6DE9">
              <w:rPr>
                <w:rFonts w:ascii="Arial" w:eastAsia="Times New Roman" w:hAnsi="Arial" w:cs="Arial"/>
                <w:color w:val="000000"/>
                <w:sz w:val="28"/>
                <w:szCs w:val="28"/>
              </w:rPr>
              <w:t>Opotow</w:t>
            </w:r>
            <w:proofErr w:type="spellEnd"/>
            <w:r w:rsidRPr="001B6DE9">
              <w:rPr>
                <w:rFonts w:ascii="Arial" w:eastAsia="Times New Roman" w:hAnsi="Arial" w:cs="Arial"/>
                <w:color w:val="000000"/>
                <w:sz w:val="28"/>
                <w:szCs w:val="28"/>
              </w:rPr>
              <w:t>, "Drawing the Line," 349.</w:t>
            </w:r>
          </w:p>
          <w:p w:rsidR="001B6DE9" w:rsidRPr="001B6DE9" w:rsidRDefault="001B6DE9" w:rsidP="001B6DE9">
            <w:pPr>
              <w:spacing w:after="0" w:line="299" w:lineRule="atLeast"/>
              <w:rPr>
                <w:rFonts w:ascii="Arial" w:eastAsia="Times New Roman" w:hAnsi="Arial" w:cs="Arial"/>
                <w:color w:val="000000"/>
                <w:sz w:val="28"/>
                <w:szCs w:val="28"/>
              </w:rPr>
            </w:pPr>
            <w:r w:rsidRPr="001B6DE9">
              <w:rPr>
                <w:rFonts w:ascii="Arial" w:eastAsia="Times New Roman" w:hAnsi="Arial" w:cs="Arial"/>
                <w:color w:val="000000"/>
                <w:sz w:val="28"/>
                <w:szCs w:val="28"/>
              </w:rPr>
              <w:pict>
                <v:rect id="_x0000_i1046" style="width:0;height:.95pt" o:hralign="center" o:hrstd="t" o:hrnoshade="t" o:hr="t" fillcolor="#27226b" stroked="f"/>
              </w:pict>
            </w:r>
          </w:p>
          <w:p w:rsidR="001B6DE9" w:rsidRPr="001B6DE9" w:rsidRDefault="001B6DE9" w:rsidP="001B6DE9">
            <w:pPr>
              <w:spacing w:after="0" w:line="299" w:lineRule="atLeast"/>
              <w:rPr>
                <w:rFonts w:ascii="Arial" w:eastAsia="Times New Roman" w:hAnsi="Arial" w:cs="Arial"/>
                <w:color w:val="000000"/>
                <w:sz w:val="28"/>
                <w:szCs w:val="28"/>
              </w:rPr>
            </w:pPr>
            <w:bookmarkStart w:id="0" w:name="cite"/>
            <w:bookmarkEnd w:id="0"/>
            <w:proofErr w:type="spellStart"/>
            <w:r w:rsidRPr="001B6DE9">
              <w:rPr>
                <w:rFonts w:ascii="Arial" w:eastAsia="Times New Roman" w:hAnsi="Arial" w:cs="Arial"/>
                <w:color w:val="000000"/>
                <w:sz w:val="28"/>
                <w:szCs w:val="28"/>
              </w:rPr>
              <w:t>Maiese</w:t>
            </w:r>
            <w:proofErr w:type="spellEnd"/>
            <w:r w:rsidRPr="001B6DE9">
              <w:rPr>
                <w:rFonts w:ascii="Arial" w:eastAsia="Times New Roman" w:hAnsi="Arial" w:cs="Arial"/>
                <w:color w:val="000000"/>
                <w:sz w:val="28"/>
                <w:szCs w:val="28"/>
              </w:rPr>
              <w:t>, Michelle. "Dehumanization." </w:t>
            </w:r>
            <w:r w:rsidRPr="001B6DE9">
              <w:rPr>
                <w:rFonts w:ascii="Arial" w:eastAsia="Times New Roman" w:hAnsi="Arial" w:cs="Arial"/>
                <w:i/>
                <w:iCs/>
                <w:color w:val="000000"/>
                <w:sz w:val="28"/>
                <w:szCs w:val="28"/>
              </w:rPr>
              <w:t>Beyond Intractability</w:t>
            </w:r>
            <w:r w:rsidRPr="001B6DE9">
              <w:rPr>
                <w:rFonts w:ascii="Arial" w:eastAsia="Times New Roman" w:hAnsi="Arial" w:cs="Arial"/>
                <w:color w:val="000000"/>
                <w:sz w:val="28"/>
                <w:szCs w:val="28"/>
              </w:rPr>
              <w:t>. Eds. Guy Burgess and Heidi Burgess. Conflict Information Consortium, University of Colorado, Boulder.</w:t>
            </w:r>
            <w:r>
              <w:rPr>
                <w:rFonts w:ascii="Arial" w:eastAsia="Times New Roman" w:hAnsi="Arial" w:cs="Arial"/>
                <w:color w:val="000000"/>
                <w:sz w:val="28"/>
                <w:szCs w:val="28"/>
              </w:rPr>
              <w:t xml:space="preserve"> </w:t>
            </w:r>
            <w:r w:rsidRPr="001B6DE9">
              <w:rPr>
                <w:rFonts w:ascii="Arial" w:eastAsia="Times New Roman" w:hAnsi="Arial" w:cs="Arial"/>
                <w:color w:val="000000"/>
                <w:sz w:val="28"/>
                <w:szCs w:val="28"/>
              </w:rPr>
              <w:t>July 2003</w:t>
            </w:r>
            <w:r>
              <w:rPr>
                <w:rFonts w:ascii="Arial" w:eastAsia="Times New Roman" w:hAnsi="Arial" w:cs="Arial"/>
                <w:color w:val="000000"/>
                <w:sz w:val="28"/>
                <w:szCs w:val="28"/>
              </w:rPr>
              <w:t>. Web. 19 July 2013.</w:t>
            </w:r>
          </w:p>
        </w:tc>
      </w:tr>
    </w:tbl>
    <w:p w:rsidR="00A215A9" w:rsidRPr="001B6DE9" w:rsidRDefault="00A215A9">
      <w:pPr>
        <w:rPr>
          <w:sz w:val="28"/>
          <w:szCs w:val="28"/>
        </w:rPr>
      </w:pPr>
    </w:p>
    <w:sectPr w:rsidR="00A215A9" w:rsidRPr="001B6DE9" w:rsidSect="001B6DE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6DE9"/>
    <w:rsid w:val="0001523E"/>
    <w:rsid w:val="00110DBC"/>
    <w:rsid w:val="001300B4"/>
    <w:rsid w:val="001B6DE9"/>
    <w:rsid w:val="002164BD"/>
    <w:rsid w:val="006A232C"/>
    <w:rsid w:val="007225CC"/>
    <w:rsid w:val="00823CE6"/>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6DE9"/>
    <w:rPr>
      <w:b/>
      <w:bCs/>
    </w:rPr>
  </w:style>
  <w:style w:type="character" w:styleId="Hyperlink">
    <w:name w:val="Hyperlink"/>
    <w:basedOn w:val="DefaultParagraphFont"/>
    <w:uiPriority w:val="99"/>
    <w:semiHidden/>
    <w:unhideWhenUsed/>
    <w:rsid w:val="001B6DE9"/>
    <w:rPr>
      <w:color w:val="0000FF"/>
      <w:u w:val="single"/>
    </w:rPr>
  </w:style>
  <w:style w:type="character" w:customStyle="1" w:styleId="apple-converted-space">
    <w:name w:val="apple-converted-space"/>
    <w:basedOn w:val="DefaultParagraphFont"/>
    <w:rsid w:val="001B6DE9"/>
  </w:style>
  <w:style w:type="paragraph" w:styleId="NormalWeb">
    <w:name w:val="Normal (Web)"/>
    <w:basedOn w:val="Normal"/>
    <w:uiPriority w:val="99"/>
    <w:semiHidden/>
    <w:unhideWhenUsed/>
    <w:rsid w:val="001B6D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DE9"/>
    <w:rPr>
      <w:i/>
      <w:iCs/>
    </w:rPr>
  </w:style>
  <w:style w:type="paragraph" w:styleId="BalloonText">
    <w:name w:val="Balloon Text"/>
    <w:basedOn w:val="Normal"/>
    <w:link w:val="BalloonTextChar"/>
    <w:uiPriority w:val="99"/>
    <w:semiHidden/>
    <w:unhideWhenUsed/>
    <w:rsid w:val="001B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215443">
      <w:bodyDiv w:val="1"/>
      <w:marLeft w:val="0"/>
      <w:marRight w:val="0"/>
      <w:marTop w:val="0"/>
      <w:marBottom w:val="0"/>
      <w:divBdr>
        <w:top w:val="none" w:sz="0" w:space="0" w:color="auto"/>
        <w:left w:val="none" w:sz="0" w:space="0" w:color="auto"/>
        <w:bottom w:val="none" w:sz="0" w:space="0" w:color="auto"/>
        <w:right w:val="none" w:sz="0" w:space="0" w:color="auto"/>
      </w:divBdr>
      <w:divsChild>
        <w:div w:id="162287172">
          <w:marLeft w:val="0"/>
          <w:marRight w:val="0"/>
          <w:marTop w:val="0"/>
          <w:marBottom w:val="0"/>
          <w:divBdr>
            <w:top w:val="none" w:sz="0" w:space="0" w:color="auto"/>
            <w:left w:val="none" w:sz="0" w:space="0" w:color="auto"/>
            <w:bottom w:val="none" w:sz="0" w:space="0" w:color="auto"/>
            <w:right w:val="none" w:sz="0" w:space="0" w:color="auto"/>
          </w:divBdr>
        </w:div>
        <w:div w:id="834610671">
          <w:marLeft w:val="0"/>
          <w:marRight w:val="0"/>
          <w:marTop w:val="281"/>
          <w:marBottom w:val="281"/>
          <w:divBdr>
            <w:top w:val="none" w:sz="0" w:space="0" w:color="auto"/>
            <w:left w:val="none" w:sz="0" w:space="0" w:color="auto"/>
            <w:bottom w:val="none" w:sz="0" w:space="0" w:color="auto"/>
            <w:right w:val="none" w:sz="0" w:space="0" w:color="auto"/>
          </w:divBdr>
        </w:div>
        <w:div w:id="1327128349">
          <w:marLeft w:val="0"/>
          <w:marRight w:val="0"/>
          <w:marTop w:val="0"/>
          <w:marBottom w:val="0"/>
          <w:divBdr>
            <w:top w:val="none" w:sz="0" w:space="0" w:color="auto"/>
            <w:left w:val="none" w:sz="0" w:space="0" w:color="auto"/>
            <w:bottom w:val="none" w:sz="0" w:space="0" w:color="auto"/>
            <w:right w:val="none" w:sz="0" w:space="0" w:color="auto"/>
          </w:divBdr>
        </w:div>
        <w:div w:id="1915436430">
          <w:marLeft w:val="0"/>
          <w:marRight w:val="0"/>
          <w:marTop w:val="0"/>
          <w:marBottom w:val="0"/>
          <w:divBdr>
            <w:top w:val="none" w:sz="0" w:space="0" w:color="auto"/>
            <w:left w:val="none" w:sz="0" w:space="0" w:color="auto"/>
            <w:bottom w:val="none" w:sz="0" w:space="0" w:color="auto"/>
            <w:right w:val="none" w:sz="0" w:space="0" w:color="auto"/>
          </w:divBdr>
        </w:div>
        <w:div w:id="2117094968">
          <w:marLeft w:val="0"/>
          <w:marRight w:val="0"/>
          <w:marTop w:val="0"/>
          <w:marBottom w:val="0"/>
          <w:divBdr>
            <w:top w:val="none" w:sz="0" w:space="0" w:color="auto"/>
            <w:left w:val="none" w:sz="0" w:space="0" w:color="auto"/>
            <w:bottom w:val="none" w:sz="0" w:space="0" w:color="auto"/>
            <w:right w:val="none" w:sz="0" w:space="0" w:color="auto"/>
          </w:divBdr>
        </w:div>
        <w:div w:id="161116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yondintractability.org/bi-essay/war-crimes-genocide" TargetMode="External"/><Relationship Id="rId13" Type="http://schemas.openxmlformats.org/officeDocument/2006/relationships/hyperlink" Target="http://www.beyondintractability.org/bi-essay/anger" TargetMode="External"/><Relationship Id="rId18" Type="http://schemas.openxmlformats.org/officeDocument/2006/relationships/hyperlink" Target="http://www.beyondintractability.org/bi-essay/interpersonal-communication" TargetMode="External"/><Relationship Id="rId26" Type="http://schemas.openxmlformats.org/officeDocument/2006/relationships/hyperlink" Target="http://www.beyondintractability.org/bi-essay/human-rights-violations" TargetMode="External"/><Relationship Id="rId3" Type="http://schemas.openxmlformats.org/officeDocument/2006/relationships/webSettings" Target="webSettings.xml"/><Relationship Id="rId21" Type="http://schemas.openxmlformats.org/officeDocument/2006/relationships/hyperlink" Target="http://www.beyondintractability.org/bi-essay/sum" TargetMode="External"/><Relationship Id="rId7" Type="http://schemas.openxmlformats.org/officeDocument/2006/relationships/hyperlink" Target="http://www.beyondintractability.org/bi-essay/war-crimes-general" TargetMode="External"/><Relationship Id="rId12" Type="http://schemas.openxmlformats.org/officeDocument/2006/relationships/hyperlink" Target="http://www.beyondintractability.org/bi-essay/intolerable-moral-differences" TargetMode="External"/><Relationship Id="rId17" Type="http://schemas.openxmlformats.org/officeDocument/2006/relationships/hyperlink" Target="http://www.beyondintractability.org/bi-essay/empathic-listening" TargetMode="External"/><Relationship Id="rId25" Type="http://schemas.openxmlformats.org/officeDocument/2006/relationships/hyperlink" Target="http://www.beyondintractability.org/bi-essay/damaged-relationships" TargetMode="External"/><Relationship Id="rId2" Type="http://schemas.openxmlformats.org/officeDocument/2006/relationships/settings" Target="settings.xml"/><Relationship Id="rId16" Type="http://schemas.openxmlformats.org/officeDocument/2006/relationships/hyperlink" Target="http://www.beyondintractability.org/bi-essay/stereotypes" TargetMode="External"/><Relationship Id="rId20" Type="http://schemas.openxmlformats.org/officeDocument/2006/relationships/hyperlink" Target="http://www.beyondintractability.org/bi-essay/framing" TargetMode="External"/><Relationship Id="rId29" Type="http://schemas.openxmlformats.org/officeDocument/2006/relationships/hyperlink" Target="http://www.beyondintractability.org/bi-essay/humanization" TargetMode="External"/><Relationship Id="rId1" Type="http://schemas.openxmlformats.org/officeDocument/2006/relationships/styles" Target="styles.xml"/><Relationship Id="rId6" Type="http://schemas.openxmlformats.org/officeDocument/2006/relationships/hyperlink" Target="http://www.beyondintractability.org/bi-essay/human-rights-violations" TargetMode="External"/><Relationship Id="rId11" Type="http://schemas.openxmlformats.org/officeDocument/2006/relationships/hyperlink" Target="http://www.beyondintractability.org/bi-essay/principles-of-justice" TargetMode="External"/><Relationship Id="rId24" Type="http://schemas.openxmlformats.org/officeDocument/2006/relationships/hyperlink" Target="http://www.beyondintractability.org/bi-essay/into-the-sea-framing" TargetMode="External"/><Relationship Id="rId32" Type="http://schemas.openxmlformats.org/officeDocument/2006/relationships/theme" Target="theme/theme1.xml"/><Relationship Id="rId5" Type="http://schemas.openxmlformats.org/officeDocument/2006/relationships/hyperlink" Target="http://www.beyondintractability.org/bi-essay/violence" TargetMode="External"/><Relationship Id="rId15" Type="http://schemas.openxmlformats.org/officeDocument/2006/relationships/hyperlink" Target="http://www.beyondintractability.org/bi-essay/distrust" TargetMode="External"/><Relationship Id="rId23" Type="http://schemas.openxmlformats.org/officeDocument/2006/relationships/hyperlink" Target="http://www.beyondintractability.org/bi-essay/violence" TargetMode="External"/><Relationship Id="rId28" Type="http://schemas.openxmlformats.org/officeDocument/2006/relationships/hyperlink" Target="http://www.beyondintractability.org/bi-essay/war-crimes-genocide" TargetMode="External"/><Relationship Id="rId10" Type="http://schemas.openxmlformats.org/officeDocument/2006/relationships/hyperlink" Target="http://www.beyondintractability.org/bi-essay/international-law" TargetMode="External"/><Relationship Id="rId19" Type="http://schemas.openxmlformats.org/officeDocument/2006/relationships/hyperlink" Target="http://www.beyondintractability.org/bi-essay/commonalities" TargetMode="External"/><Relationship Id="rId31" Type="http://schemas.openxmlformats.org/officeDocument/2006/relationships/fontTable" Target="fontTable.xml"/><Relationship Id="rId4" Type="http://schemas.openxmlformats.org/officeDocument/2006/relationships/hyperlink" Target="http://www.beyondintractability.org/contributors/michelle-maiese" TargetMode="External"/><Relationship Id="rId9" Type="http://schemas.openxmlformats.org/officeDocument/2006/relationships/hyperlink" Target="http://www.beyondintractability.org/bi-essay/intolerable-moral-differences" TargetMode="External"/><Relationship Id="rId14" Type="http://schemas.openxmlformats.org/officeDocument/2006/relationships/hyperlink" Target="http://www.beyondintractability.org/bi-essay/fear" TargetMode="External"/><Relationship Id="rId22" Type="http://schemas.openxmlformats.org/officeDocument/2006/relationships/hyperlink" Target="http://www.beyondintractability.org/bi-essay/escalation" TargetMode="External"/><Relationship Id="rId27" Type="http://schemas.openxmlformats.org/officeDocument/2006/relationships/hyperlink" Target="http://www.beyondintractability.org/bi-essay/war-crimes-genocide" TargetMode="External"/><Relationship Id="rId30" Type="http://schemas.openxmlformats.org/officeDocument/2006/relationships/hyperlink" Target="http://www.beyondintractability.org/bi-essay/empathic-list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1593</Words>
  <Characters>9081</Characters>
  <Application>Microsoft Office Word</Application>
  <DocSecurity>0</DocSecurity>
  <Lines>75</Lines>
  <Paragraphs>21</Paragraphs>
  <ScaleCrop>false</ScaleCrop>
  <Company>Wichita Public Schools</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2013-07-19T11:28:00Z</dcterms:created>
  <dcterms:modified xsi:type="dcterms:W3CDTF">2013-07-19T11:33:00Z</dcterms:modified>
</cp:coreProperties>
</file>